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before="0" w:beforeLines="0" w:after="0" w:afterLines="0" w:line="360" w:lineRule="auto"/>
        <w:ind w:left="-210" w:leftChars="-100" w:right="-210" w:rightChars="-100" w:firstLine="723" w:firstLineChars="200"/>
        <w:jc w:val="center"/>
        <w:textAlignment w:val="auto"/>
        <w:rPr>
          <w:rFonts w:hint="default" w:ascii="宋体" w:hAnsi="宋体" w:eastAsia="宋体" w:cs="宋体"/>
          <w:color w:val="auto"/>
          <w:lang w:val="en-US" w:eastAsia="zh-CN"/>
        </w:rPr>
      </w:pPr>
      <w:bookmarkStart w:id="0" w:name="_Toc16356"/>
      <w:bookmarkStart w:id="1" w:name="_Toc25687"/>
      <w:bookmarkStart w:id="2" w:name="_Toc3523"/>
      <w:bookmarkStart w:id="3" w:name="_Toc826"/>
      <w:r>
        <w:rPr>
          <w:rFonts w:hint="eastAsia" w:ascii="宋体" w:hAnsi="宋体" w:eastAsia="宋体" w:cs="宋体"/>
          <w:color w:val="auto"/>
          <w:lang w:val="en-US" w:eastAsia="zh-CN"/>
        </w:rPr>
        <w:t>乐山市人民医院污水处理系统</w:t>
      </w:r>
      <w:bookmarkEnd w:id="0"/>
      <w:bookmarkEnd w:id="1"/>
      <w:bookmarkEnd w:id="2"/>
      <w:bookmarkEnd w:id="3"/>
      <w:r>
        <w:rPr>
          <w:rFonts w:hint="eastAsia" w:ascii="宋体" w:hAnsi="宋体" w:eastAsia="宋体" w:cs="宋体"/>
          <w:color w:val="auto"/>
          <w:lang w:val="en-US" w:eastAsia="zh-CN"/>
        </w:rPr>
        <w:t>运维方案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before="0" w:beforeLines="0" w:after="0" w:afterLines="0" w:line="360" w:lineRule="auto"/>
        <w:ind w:left="0" w:leftChars="0" w:right="0" w:rightChars="0"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before="0" w:beforeLines="0" w:after="0" w:afterLines="0" w:line="360" w:lineRule="auto"/>
        <w:ind w:left="0" w:leftChars="0" w:right="0" w:rightChars="0"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保障全院污水处理系统安全、稳定、达标运行。工作范围包括污水监测设备、水泵、风机、消毒装置等设施的运行维护与综合管理，严格执行安全操作规程，并建立完善的配件供应保障机制及应急响应台账制度，确保所有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维护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行为合规可溯，实现医院污水处理系统安全、稳定、达标排放的运行要求。</w:t>
      </w:r>
      <w:bookmarkStart w:id="16" w:name="_GoBack"/>
      <w:bookmarkEnd w:id="16"/>
    </w:p>
    <w:p>
      <w:pPr>
        <w:pStyle w:val="3"/>
        <w:keepNext w:val="0"/>
        <w:keepLines w:val="0"/>
        <w:pageBreakBefore w:val="0"/>
        <w:widowControl w:val="0"/>
        <w:numPr>
          <w:ilvl w:val="-1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snapToGrid/>
        <w:spacing w:before="0" w:beforeLines="0" w:after="0" w:afterLines="0" w:line="360" w:lineRule="auto"/>
        <w:ind w:left="0" w:leftChars="0" w:right="0" w:rightChars="0" w:firstLine="643" w:firstLineChars="200"/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一、设备介绍</w:t>
      </w:r>
    </w:p>
    <w:p>
      <w:pPr>
        <w:pStyle w:val="4"/>
        <w:keepNext w:val="0"/>
        <w:keepLines w:val="0"/>
        <w:pageBreakBefore w:val="0"/>
        <w:widowControl w:val="0"/>
        <w:numPr>
          <w:ilvl w:val="-1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before="0" w:beforeLines="0" w:beforeAutospacing="0" w:after="0" w:afterLines="0" w:afterAutospacing="0" w:line="360" w:lineRule="auto"/>
        <w:ind w:left="0" w:leftChars="0" w:right="0" w:rightChars="0" w:firstLine="64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lang w:val="en-US" w:eastAsia="zh-CN"/>
        </w:rPr>
        <w:t>1.</w:t>
      </w:r>
      <w:r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  <w:t>污水处理工艺</w:t>
      </w:r>
      <w:r>
        <w:rPr>
          <w:rFonts w:hint="eastAsia" w:ascii="宋体" w:hAnsi="宋体" w:cs="宋体"/>
          <w:b w:val="0"/>
          <w:bCs/>
          <w:color w:val="auto"/>
          <w:lang w:val="en-US" w:eastAsia="zh-CN"/>
        </w:rPr>
        <w:t>介绍</w:t>
      </w:r>
    </w:p>
    <w:p>
      <w:pPr>
        <w:keepNext w:val="0"/>
        <w:keepLines w:val="0"/>
        <w:pageBreakBefore w:val="0"/>
        <w:widowControl w:val="0"/>
        <w:numPr>
          <w:ilvl w:val="1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left="0" w:leftChars="0" w:right="0" w:rightChars="0" w:firstLine="560" w:firstLineChars="200"/>
        <w:textAlignment w:val="auto"/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乐山市人民医院白塔院区西区：门诊污水处理站处理量100m³/d，采用MBR膜处理工艺；第一住院大楼污水处理站处理量1200m³/d，采用A2/O+沉淀消毒处理工艺；白塔院区东区污水处理站处理量80m³/d，采用MBR膜处理工艺。</w:t>
      </w:r>
    </w:p>
    <w:p>
      <w:pPr>
        <w:keepNext w:val="0"/>
        <w:keepLines w:val="0"/>
        <w:pageBreakBefore w:val="0"/>
        <w:widowControl w:val="0"/>
        <w:numPr>
          <w:ilvl w:val="1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left="0" w:leftChars="0" w:right="0" w:rightChars="0" w:firstLine="560" w:firstLineChars="200"/>
        <w:textAlignment w:val="auto"/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乐山市人民医院永安院区：1#污水处理站日处理量100m³/d、2#污水处理站日处理量200m³/d，两座污水处理站均采用MBR膜处理工艺。</w:t>
      </w:r>
    </w:p>
    <w:p>
      <w:pPr>
        <w:keepNext w:val="0"/>
        <w:keepLines w:val="0"/>
        <w:pageBreakBefore w:val="0"/>
        <w:widowControl w:val="0"/>
        <w:numPr>
          <w:ilvl w:val="1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left="0" w:leftChars="0" w:right="0" w:rightChars="0" w:firstLine="560" w:firstLineChars="200"/>
        <w:textAlignment w:val="auto"/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乐山市人民医院高新院区污水处理站处理量2000m³/d，采用A2/O+沉淀消毒处理工艺。</w:t>
      </w:r>
    </w:p>
    <w:p>
      <w:pPr>
        <w:pStyle w:val="4"/>
        <w:keepNext w:val="0"/>
        <w:keepLines w:val="0"/>
        <w:pageBreakBefore w:val="0"/>
        <w:widowControl w:val="0"/>
        <w:numPr>
          <w:ilvl w:val="-1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before="0" w:beforeLines="0" w:beforeAutospacing="0" w:after="0" w:afterLines="0" w:afterAutospacing="0" w:line="360" w:lineRule="auto"/>
        <w:ind w:left="0" w:leftChars="0" w:right="0" w:rightChars="0" w:firstLine="64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lang w:val="en-US" w:eastAsia="zh-CN"/>
        </w:rPr>
        <w:t>2.</w:t>
      </w:r>
      <w:r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  <w:t>排放标准</w:t>
      </w:r>
    </w:p>
    <w:p>
      <w:pPr>
        <w:pStyle w:val="12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snapToGrid/>
        <w:spacing w:before="0" w:beforeLines="0" w:beforeAutospacing="0" w:after="0" w:afterLines="0" w:afterAutospacing="0" w:line="360" w:lineRule="auto"/>
        <w:ind w:left="0" w:leftChars="0" w:right="0" w:rightChars="0" w:firstLine="560" w:firstLineChars="200"/>
        <w:jc w:val="both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乐山市人民医院永安院区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1#、2#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污水处理站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按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《医疗机构水污染物排放标准》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（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GB18466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）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表1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标准值进行排放，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乐山市人民医院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其它院区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污水处理站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按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《医疗机构水污染物排放标准GB18466》表2预处理标准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进行排放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。</w:t>
      </w:r>
    </w:p>
    <w:p>
      <w:pPr>
        <w:pStyle w:val="3"/>
        <w:keepNext w:val="0"/>
        <w:keepLines w:val="0"/>
        <w:pageBreakBefore w:val="0"/>
        <w:widowControl w:val="0"/>
        <w:numPr>
          <w:ilvl w:val="-1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snapToGrid/>
        <w:spacing w:before="0" w:beforeLines="0" w:after="0" w:afterLines="0" w:line="360" w:lineRule="auto"/>
        <w:ind w:left="0" w:leftChars="0" w:right="0" w:rightChars="0" w:firstLine="643" w:firstLineChars="200"/>
        <w:rPr>
          <w:rFonts w:hint="eastAsia" w:ascii="宋体" w:hAnsi="宋体" w:eastAsia="宋体" w:cs="宋体"/>
          <w:color w:val="auto"/>
          <w:lang w:val="en-US" w:eastAsia="zh-CN"/>
        </w:rPr>
      </w:pPr>
      <w:bookmarkStart w:id="4" w:name="_Toc28793"/>
      <w:bookmarkStart w:id="5" w:name="_Toc22650"/>
      <w:bookmarkStart w:id="6" w:name="_Toc5351"/>
      <w:bookmarkStart w:id="7" w:name="_Toc14552"/>
      <w:r>
        <w:rPr>
          <w:rFonts w:hint="eastAsia" w:ascii="宋体" w:hAnsi="宋体" w:eastAsia="宋体" w:cs="宋体"/>
          <w:color w:val="auto"/>
          <w:lang w:val="en-US" w:eastAsia="zh-CN"/>
        </w:rPr>
        <w:t>二、总体要求</w:t>
      </w:r>
      <w:bookmarkEnd w:id="4"/>
      <w:bookmarkEnd w:id="5"/>
      <w:bookmarkEnd w:id="6"/>
      <w:bookmarkEnd w:id="7"/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before="0" w:beforeLines="0" w:after="0" w:afterLines="0" w:line="360" w:lineRule="auto"/>
        <w:ind w:left="0" w:leftChars="0" w:right="0" w:rightChars="0"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1.3名驻场运维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人员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持污水处理证。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before="0" w:beforeLines="0" w:after="0" w:afterLines="0" w:line="360" w:lineRule="auto"/>
        <w:ind w:left="0" w:leftChars="0" w:right="0" w:rightChars="0"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综合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维护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能力：须具备污水处理系统中各类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在线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监测设备、水泵、风机、消毒装置等设备的运行、维修与管理能力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before="0" w:beforeLines="0" w:after="0" w:afterLines="0" w:line="360" w:lineRule="auto"/>
        <w:ind w:left="0" w:leftChars="0" w:right="0" w:rightChars="0"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3.完善有限空间警示标识，对（污水池、化粪池、检查井等）有限空间做好醒目安全提示，配备有限空间安全防护用具，包括但不仅限于（通风机、气体检测仪、防毒面罩、长管呼吸机、报警装置）等。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before="0" w:beforeLines="0" w:after="0" w:afterLines="0" w:line="360" w:lineRule="auto"/>
        <w:ind w:left="0" w:leftChars="0" w:right="0" w:rightChars="0"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4.负责所有总坪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污水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主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管道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及附属设施的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疏通：制定定期巡检与疏通计划，响应医院报修，确保管道畅通。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before="0" w:beforeLines="0" w:after="0" w:afterLines="0" w:line="360" w:lineRule="auto"/>
        <w:ind w:left="0" w:leftChars="0" w:right="0" w:rightChars="0"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5.协助医院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在线平台填报服务，包括排污许可证管理工作（排污许可证变更、执行报告编制与提交、信息公开、台账上传等）。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before="0" w:beforeLines="0" w:after="0" w:afterLines="0" w:line="360" w:lineRule="auto"/>
        <w:ind w:left="0" w:leftChars="0" w:right="0" w:rightChars="0"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6.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规范遵循与计划制定：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before="0" w:beforeLines="0" w:after="0" w:afterLines="0" w:line="360" w:lineRule="auto"/>
        <w:ind w:left="0" w:leftChars="0" w:right="0" w:rightChars="0"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严格遵循《医疗机构水污染物排放标准》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GB18466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、《医院污水处理工程技术规范》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HJ2029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、《医院建筑运行维护技术标准》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GB51454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、《氨氮水质在线自动监测仪技术要求及检测方法》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HJ101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-2019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、《污染物在线监控（监测）系统数据传输标准》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HJ212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、《化学需氧量（CODCr）水质在线自动监测仪技术要求及检测方法》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HJ377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-2019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、《污水监测技术规范》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HJ91.1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-2019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等国家及行业规范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制定涵盖每日、每周、每月、每季度、半年及全年的详细巡检与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维护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计划，内容应覆盖处理工艺、消毒要求、取样与监测等全环节。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before="0" w:beforeLines="0" w:after="0" w:afterLines="0" w:line="360" w:lineRule="auto"/>
        <w:ind w:left="0" w:leftChars="0" w:right="0" w:rightChars="0"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7.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核心设备维护：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before="0" w:beforeLines="0" w:after="0" w:afterLines="0" w:line="360" w:lineRule="auto"/>
        <w:ind w:left="0" w:leftChars="0" w:right="0" w:rightChars="0"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（1）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负责污水处理系统所有设备的维护、维修等工作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，在岗期间每日2小时一次人工出水余氯比对。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before="0" w:beforeLines="0" w:after="0" w:afterLines="0" w:line="360" w:lineRule="auto"/>
        <w:ind w:left="0" w:leftChars="0" w:right="0" w:rightChars="0" w:firstLine="560" w:firstLineChars="200"/>
        <w:textAlignment w:val="auto"/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2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负责对膜生物反应器（MBR）进行维护、维修与清洗工作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每年清洗不少于1次；或者运行中出水量明显变小则进行清洗。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before="0" w:beforeLines="0" w:after="0" w:afterLines="0" w:line="360" w:lineRule="auto"/>
        <w:ind w:left="0" w:leftChars="0" w:right="0" w:rightChars="0"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3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定期对活性吸附罐进行维护、维修及活性炭更换，更换后的活性炭须按国家标准进行规范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收集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before="0" w:beforeLines="0" w:after="0" w:afterLines="0" w:line="360" w:lineRule="auto"/>
        <w:ind w:left="0" w:leftChars="0" w:right="0" w:rightChars="0"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4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定期对紫外线消毒设备进行维修、维护工作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before="0" w:beforeLines="0" w:after="0" w:afterLines="0" w:line="360" w:lineRule="auto"/>
        <w:ind w:left="0" w:leftChars="0" w:right="0" w:rightChars="0"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5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在线监测系统管理：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严格依据《氨氮水质在线自动监测仪技术要求及检测方法》（HJ101）、《污染物在线监控（监测）系统数据传输标准》（HJ212）、《化学需氧量（CODCr）水质在线自动监测仪技术要求及检测方法》（HJ377）、《污水监测技术规范》（HJ91.1）等规范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对各型在线污水监测设备（如COD、氨氮等）进行日常维护（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运行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所需化学试剂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包含在合同总价中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）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维修、数据采集及定期校准，确保数据准确可靠。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before="0" w:beforeLines="0" w:after="0" w:afterLines="0" w:line="360" w:lineRule="auto"/>
        <w:ind w:left="0" w:leftChars="0" w:right="0" w:rightChars="0"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（6）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根据《次氯酸钠溶液》（GB 19106）和《聚合氯化铝（絮凝剂）》（GB/T 22627）的规定，供应符合污水系统消毒要求的药剂（如次氯酸钠、聚合氯化铝、氢氧化钠）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，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各种污水处理在线监测设备的运行耗材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、试剂、标液等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（在线监测设备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包括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：COD在线监测设备、氨氮在线监测设备、pH在线监测设备、余氯在线监测设备、SS在线监测设备、流量在线监测设备等）。费用包含在合同总金额中，不再另行支付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before="0" w:beforeLines="0" w:after="0" w:afterLines="0" w:line="360" w:lineRule="auto"/>
        <w:ind w:left="0" w:leftChars="0" w:right="0" w:rightChars="0"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7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标准化与可视化建设：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遵照《医院污水处理工程技术规范》（HJ2029）的运行维护要求及《医院建筑运行维护技术标准》（GB51454）相关规定，对污水处理站实施规范化管理，及时更新完善各类上墙资料，至少包括管理制度、工作职责、应急预案、工艺流程图、管道走向标识、构筑物与设备标牌、环保标识等，并建立运行记录与维修档案，如实填写。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before="0" w:beforeLines="0" w:after="0" w:afterLines="0" w:line="360" w:lineRule="auto"/>
        <w:ind w:left="0" w:leftChars="0" w:right="0" w:rightChars="0"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8.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备件与应急响应：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before="0" w:beforeLines="0" w:after="0" w:afterLines="0" w:line="360" w:lineRule="auto"/>
        <w:ind w:left="0" w:leftChars="0" w:right="0" w:rightChars="0"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1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建立完整的故障处理与应急响应台账，详细记录故障诊断、响应过程及处理结果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。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一般故障立即响应，当天恢复，需大修的故障响应时间不超过2个小时，恢复时间不超过48小时。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before="0" w:beforeLines="0" w:after="0" w:afterLines="0" w:line="360" w:lineRule="auto"/>
        <w:ind w:left="0" w:leftChars="0" w:right="0" w:rightChars="0"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（2）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根据《中华人民共和国环境保护法》及《突发环境事件应急管理办法》的要求，制定突发环境应急预案，并将预案的评估、修订、演练及培训纳入年度工作计划，以确保在任何情况下均能有效应对突发环境事件。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before="0" w:beforeLines="0" w:after="0" w:afterLines="0" w:line="360" w:lineRule="auto"/>
        <w:ind w:left="0" w:leftChars="0" w:right="0" w:rightChars="0"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（3）运维</w:t>
      </w:r>
      <w:r>
        <w:rPr>
          <w:rFonts w:hint="eastAsia" w:ascii="宋体" w:hAnsi="宋体" w:cs="宋体"/>
          <w:color w:val="auto"/>
          <w:sz w:val="28"/>
          <w:szCs w:val="28"/>
        </w:rPr>
        <w:t>期间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单价</w:t>
      </w:r>
      <w:r>
        <w:rPr>
          <w:rFonts w:hint="eastAsia" w:ascii="宋体" w:hAnsi="宋体" w:cs="宋体"/>
          <w:color w:val="auto"/>
          <w:sz w:val="28"/>
          <w:szCs w:val="28"/>
        </w:rPr>
        <w:t>在1000元以内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的维修</w:t>
      </w:r>
      <w:r>
        <w:rPr>
          <w:rFonts w:hint="eastAsia" w:ascii="宋体" w:hAnsi="宋体" w:cs="宋体"/>
          <w:color w:val="auto"/>
          <w:sz w:val="28"/>
          <w:szCs w:val="28"/>
        </w:rPr>
        <w:t>材料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包含在合同总价中，不再另行支付。根据实际运行情况，</w:t>
      </w:r>
      <w:r>
        <w:rPr>
          <w:rFonts w:hint="eastAsia" w:ascii="宋体" w:hAnsi="宋体" w:cs="宋体"/>
          <w:color w:val="auto"/>
          <w:sz w:val="28"/>
          <w:szCs w:val="28"/>
        </w:rPr>
        <w:t>提供常用易损易耗件备件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清单，经医院审核后执行。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before="0" w:beforeLines="0" w:after="0" w:afterLines="0" w:line="360" w:lineRule="auto"/>
        <w:ind w:left="0" w:leftChars="0" w:right="0" w:rightChars="0"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9.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运行保障与责任承诺：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before="0" w:beforeLines="0" w:after="0" w:afterLines="0" w:line="360" w:lineRule="auto"/>
        <w:ind w:left="0" w:leftChars="0" w:right="0" w:rightChars="0"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1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保障污水站日常运行设备完好率不低于95%，关键设备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如：在线监测设备等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完好率必须达到100%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before="0" w:beforeLines="0" w:after="0" w:afterLines="0" w:line="360" w:lineRule="auto"/>
        <w:ind w:left="0" w:leftChars="0" w:right="0" w:rightChars="0" w:firstLine="560" w:firstLineChars="200"/>
        <w:textAlignment w:val="auto"/>
        <w:rPr>
          <w:rFonts w:hint="eastAsia" w:ascii="宋体" w:hAnsi="宋体" w:cs="宋体"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(2)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确保医院污水运营安全达标，因运维单位未按规范操作、未及时维修保养、未按规定处置等自身过错导致的违法违规排放，由运维单位承担相应法律责任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与经济责任。</w:t>
      </w:r>
    </w:p>
    <w:p>
      <w:pPr>
        <w:pStyle w:val="3"/>
        <w:keepNext w:val="0"/>
        <w:keepLines w:val="0"/>
        <w:numPr>
          <w:ilvl w:val="-1"/>
          <w:numId w:val="0"/>
        </w:numPr>
        <w:kinsoku w:val="0"/>
        <w:overflowPunct w:val="0"/>
        <w:autoSpaceDE w:val="0"/>
        <w:autoSpaceDN w:val="0"/>
        <w:spacing w:before="0" w:beforeLines="0" w:after="0" w:afterLines="0" w:line="360" w:lineRule="auto"/>
        <w:ind w:left="0" w:leftChars="0" w:right="0" w:rightChars="0" w:firstLine="643" w:firstLineChars="200"/>
        <w:rPr>
          <w:rFonts w:hint="eastAsia" w:ascii="宋体" w:hAnsi="宋体" w:eastAsia="宋体" w:cs="宋体"/>
          <w:color w:val="auto"/>
          <w:sz w:val="32"/>
          <w:szCs w:val="24"/>
        </w:rPr>
      </w:pPr>
      <w:r>
        <w:rPr>
          <w:rFonts w:hint="eastAsia" w:ascii="宋体" w:hAnsi="宋体" w:eastAsia="宋体" w:cs="宋体"/>
          <w:color w:val="auto"/>
          <w:sz w:val="32"/>
          <w:szCs w:val="24"/>
          <w:lang w:val="en-US" w:eastAsia="zh-CN"/>
        </w:rPr>
        <w:t>三、化粪池清掏</w:t>
      </w:r>
    </w:p>
    <w:p>
      <w:pPr>
        <w:numPr>
          <w:ilvl w:val="-1"/>
          <w:numId w:val="0"/>
        </w:numPr>
        <w:kinsoku w:val="0"/>
        <w:overflowPunct w:val="0"/>
        <w:autoSpaceDE w:val="0"/>
        <w:autoSpaceDN w:val="0"/>
        <w:spacing w:before="0" w:beforeLines="0" w:after="0" w:afterLines="0" w:line="360" w:lineRule="auto"/>
        <w:ind w:left="0" w:leftChars="0" w:right="0" w:rightChars="0" w:firstLine="560" w:firstLineChars="200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持有限空间操作证，按《有限空间作业安全技术规范》（GB46768—2025）进行安全操作。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所有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清掏（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化粪池清掏相关作业资质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）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需提交医院备案，并接受院方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监管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。</w:t>
      </w:r>
    </w:p>
    <w:p>
      <w:pPr>
        <w:keepNext w:val="0"/>
        <w:keepLines w:val="0"/>
        <w:pageBreakBefore w:val="0"/>
        <w:widowControl/>
        <w:numPr>
          <w:ilvl w:val="-1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before="0" w:beforeLines="0" w:after="0" w:afterLines="0" w:line="360" w:lineRule="auto"/>
        <w:ind w:left="0" w:leftChars="0" w:right="0" w:rightChars="0" w:firstLine="560" w:firstLineChars="200"/>
        <w:textAlignment w:val="auto"/>
        <w:rPr>
          <w:rFonts w:hint="eastAsia" w:ascii="宋体" w:hAnsi="宋体" w:cs="宋体"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2.负责医院所有院区化粪池污泥清掏：</w:t>
      </w:r>
      <w:r>
        <w:rPr>
          <w:rFonts w:hint="eastAsia" w:ascii="宋体" w:hAnsi="宋体" w:cs="宋体"/>
          <w:color w:val="auto"/>
          <w:sz w:val="28"/>
          <w:szCs w:val="28"/>
        </w:rPr>
        <w:t>须制定详尽工作计划，全程落实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院区</w:t>
      </w:r>
      <w:r>
        <w:rPr>
          <w:rFonts w:hint="eastAsia" w:ascii="宋体" w:hAnsi="宋体" w:cs="宋体"/>
          <w:color w:val="auto"/>
          <w:sz w:val="28"/>
          <w:szCs w:val="28"/>
        </w:rPr>
        <w:t>化粪池清掏作业的安全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性</w:t>
      </w:r>
      <w:r>
        <w:rPr>
          <w:rFonts w:hint="eastAsia" w:ascii="宋体" w:hAnsi="宋体" w:cs="宋体"/>
          <w:color w:val="auto"/>
          <w:sz w:val="28"/>
          <w:szCs w:val="28"/>
        </w:rPr>
        <w:t>与合规性。</w:t>
      </w:r>
    </w:p>
    <w:p>
      <w:pPr>
        <w:keepNext w:val="0"/>
        <w:keepLines w:val="0"/>
        <w:pageBreakBefore w:val="0"/>
        <w:widowControl/>
        <w:numPr>
          <w:ilvl w:val="-1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before="0" w:beforeLines="0" w:after="0" w:afterLines="0" w:line="360" w:lineRule="auto"/>
        <w:ind w:left="0" w:leftChars="0" w:right="0" w:rightChars="0" w:firstLine="560" w:firstLineChars="200"/>
        <w:textAlignment w:val="auto"/>
        <w:rPr>
          <w:rFonts w:hint="eastAsia" w:ascii="宋体" w:hAnsi="宋体" w:cs="宋体"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按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《医疗机构污水处理工程技术标准》（GB 51459-2024）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》中规定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“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非传染病医疗机构化粪池清掏周期应为90天～180天，传染病医疗机构清掏周期应为180天～360天。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”的要求定期清掏，对清掏的化粪池淤泥进行脱水、消毒、除臭、打包。</w:t>
      </w:r>
    </w:p>
    <w:p>
      <w:pPr>
        <w:keepNext w:val="0"/>
        <w:keepLines w:val="0"/>
        <w:pageBreakBefore w:val="0"/>
        <w:widowControl/>
        <w:numPr>
          <w:ilvl w:val="-1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before="0" w:beforeLines="0" w:after="0" w:afterLines="0" w:line="360" w:lineRule="auto"/>
        <w:ind w:left="0" w:leftChars="0" w:right="0" w:rightChars="0"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4.负责医院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家属区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化粪池清掏：（白塔街289号、白塔街330号、白塔街156号、府街42号）（13个化粪池）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清掏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条件：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before="0" w:beforeLines="0" w:after="0" w:afterLines="0" w:line="360" w:lineRule="auto"/>
        <w:ind w:left="0" w:leftChars="0" w:right="0" w:rightChars="0" w:firstLine="560" w:firstLineChars="200"/>
        <w:textAlignment w:val="auto"/>
        <w:rPr>
          <w:rFonts w:hint="eastAsia" w:ascii="宋体" w:hAnsi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按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GB 50015-2019《建筑给水排水设计标准》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，家属区化粪池清掏频率每年不少于1次，或者化粪池容积高于80%时进行清掏。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before="0" w:beforeLines="0" w:after="0" w:afterLines="0" w:line="360" w:lineRule="auto"/>
        <w:ind w:left="0" w:leftChars="0" w:right="0" w:rightChars="0"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化粪池清掏后的现场恢复与清洗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  <w:t>池内洁净、消毒到位、场地复原、安全合规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，做到工完场清、无污无异味、设施完好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。</w:t>
      </w:r>
    </w:p>
    <w:p>
      <w:pPr>
        <w:pStyle w:val="3"/>
        <w:keepNext w:val="0"/>
        <w:keepLines w:val="0"/>
        <w:pageBreakBefore w:val="0"/>
        <w:widowControl/>
        <w:numPr>
          <w:ilvl w:val="-1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snapToGrid/>
        <w:spacing w:before="0" w:beforeLines="0" w:after="0" w:afterLines="0" w:line="360" w:lineRule="auto"/>
        <w:ind w:left="0" w:leftChars="0" w:right="0" w:rightChars="0" w:firstLine="643" w:firstLineChars="200"/>
        <w:rPr>
          <w:rFonts w:hint="eastAsia" w:ascii="宋体" w:hAnsi="宋体" w:eastAsia="宋体" w:cs="宋体"/>
          <w:color w:val="auto"/>
          <w:lang w:val="en-US" w:eastAsia="zh-CN"/>
        </w:rPr>
      </w:pPr>
      <w:bookmarkStart w:id="8" w:name="_Toc16669"/>
      <w:bookmarkStart w:id="9" w:name="_Toc6252"/>
      <w:bookmarkStart w:id="10" w:name="_Toc5636"/>
      <w:bookmarkStart w:id="11" w:name="_Toc12759"/>
      <w:r>
        <w:rPr>
          <w:rFonts w:hint="eastAsia" w:ascii="宋体" w:hAnsi="宋体" w:eastAsia="宋体" w:cs="宋体"/>
          <w:color w:val="auto"/>
          <w:lang w:val="en-US" w:eastAsia="zh-CN"/>
        </w:rPr>
        <w:t>四、维护要求：</w:t>
      </w:r>
      <w:bookmarkEnd w:id="8"/>
      <w:bookmarkEnd w:id="9"/>
      <w:bookmarkEnd w:id="10"/>
      <w:bookmarkEnd w:id="11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before="0" w:beforeLines="0" w:beforeAutospacing="0" w:after="0" w:afterLines="0" w:afterAutospacing="0" w:line="360" w:lineRule="auto"/>
        <w:ind w:left="0" w:leftChars="0" w:right="0" w:rightChars="0"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维护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范围主要包括：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在线监测设备、投药设备、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格栅池、调节池、厌氧池、缺氧池、好氧池、MBR膜池、沉淀池、消毒池、清水池、出水渠、中控室、鼓风机房、污泥脱水设施，以及机电及自控设施设备的运行维护保养、运行资料管理与档案建立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before="0" w:beforeLines="0" w:beforeAutospacing="0" w:after="0" w:afterLines="0" w:afterAutospacing="0" w:line="360" w:lineRule="auto"/>
        <w:ind w:left="0" w:leftChars="0" w:right="0" w:rightChars="0" w:firstLine="560" w:firstLineChars="200"/>
        <w:jc w:val="both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1.驻场人员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需全面掌握污水处理工艺、设备技术指标及安全规程，严格按规定频次巡视检查构筑物、机电设备及仪表运行状态；同时定期接受设备操作、维护保养、水质监测与应急处理的专业培训，确保工艺精准控制、设备稳定运行、水质持续达标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before="0" w:beforeLines="0" w:beforeAutospacing="0" w:after="0" w:afterLines="0" w:afterAutospacing="0" w:line="360" w:lineRule="auto"/>
        <w:ind w:left="0" w:leftChars="0" w:right="0" w:rightChars="0" w:firstLine="560" w:firstLineChars="200"/>
        <w:jc w:val="both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制定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并持续完善污水运维、有限空间、突发环境事件等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应急预案，对潜在突发事件进行预测与评估，拟定相应处置措施及救援方案，确保紧急情况下能及时有效响应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每年对各项应急预案开展不少于1次的演练，形成报告持续优化。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before="0" w:beforeLines="0" w:beforeAutospacing="0" w:after="0" w:afterLines="0" w:afterAutospacing="0" w:line="360" w:lineRule="auto"/>
        <w:ind w:left="0" w:leftChars="0" w:right="0" w:rightChars="0" w:firstLine="560" w:firstLineChars="200"/>
        <w:jc w:val="both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实时采集设备运行数据及处理效果数据，为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维护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管理提供依据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，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同时分析采集数据，揭示设备运行规律与潜在问题，优化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维护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方案，为医院污水合规排放提供合理化建议、整改措施及设计思路供参考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before="0" w:beforeLines="0" w:beforeAutospacing="0" w:after="0" w:afterLines="0" w:afterAutospacing="0" w:line="360" w:lineRule="auto"/>
        <w:ind w:left="0" w:leftChars="0" w:right="0" w:rightChars="0" w:firstLine="560" w:firstLineChars="200"/>
        <w:jc w:val="both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4.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依据国家环保相关规定，对污水处理站标牌标识实施规范化管理，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t>并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及时更新（含上墙资料、管理制度、工作职责、应急措施、工艺流程、管道走向标识、构筑物标牌、处理设备标牌、进出水环保标识等）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before="0" w:beforeLines="0" w:beforeAutospacing="0" w:after="0" w:afterLines="0" w:afterAutospacing="0" w:line="360" w:lineRule="auto"/>
        <w:ind w:left="0" w:leftChars="0" w:right="0" w:rightChars="0" w:firstLine="560" w:firstLineChars="200"/>
        <w:jc w:val="both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5.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负责接待并配合相关上级卫生、防疫、环保等管理部门检查参观，提供必要解说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before="0" w:beforeLines="0" w:beforeAutospacing="0" w:after="0" w:afterLines="0" w:afterAutospacing="0" w:line="360" w:lineRule="auto"/>
        <w:ind w:left="0" w:leftChars="0" w:right="0" w:rightChars="0" w:firstLine="560" w:firstLineChars="200"/>
        <w:jc w:val="both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6.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依据国家相关法律法规及医院管理制度，建立安全管理标准（涵盖安全操作与安全检查），污水管理人员须严格执行制度规定，并持续完善各项记录的填写与归档（含各类自检、委外检测数据整理记录及设备运行记录）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before="0" w:beforeLines="0" w:beforeAutospacing="0" w:after="0" w:afterLines="0" w:afterAutospacing="0" w:line="360" w:lineRule="auto"/>
        <w:ind w:left="0" w:leftChars="0" w:right="0" w:rightChars="0" w:firstLine="560" w:firstLineChars="200"/>
        <w:jc w:val="both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7.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在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不增加额外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人力成本前提下，高效完成院方相关指令性任务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before="0" w:beforeLines="0" w:beforeAutospacing="0" w:after="0" w:afterLines="0" w:afterAutospacing="0" w:line="360" w:lineRule="auto"/>
        <w:ind w:left="0" w:leftChars="0" w:right="0" w:rightChars="0" w:firstLine="560" w:firstLineChars="200"/>
        <w:jc w:val="both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8.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加强药剂管理：确保药剂（如次氯酸钠、聚合氯化铝、氢氧化钠）充足储备、定期校正投药设备计量装置，保证投加量符合工艺要求；严格执行药剂质量监控，定期检验，确保其满足工艺标准，并根据水质变化及出水要求适时调整投药量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before="0" w:beforeLines="0" w:beforeAutospacing="0" w:after="0" w:afterLines="0" w:afterAutospacing="0" w:line="360" w:lineRule="auto"/>
        <w:ind w:left="0" w:leftChars="0" w:right="0" w:rightChars="0" w:firstLine="560" w:firstLineChars="200"/>
        <w:jc w:val="both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9.配合第三方公司定期对在线监测设备进行校对。</w:t>
      </w:r>
    </w:p>
    <w:p>
      <w:pPr>
        <w:pStyle w:val="3"/>
        <w:keepNext w:val="0"/>
        <w:keepLines w:val="0"/>
        <w:pageBreakBefore w:val="0"/>
        <w:widowControl/>
        <w:numPr>
          <w:ilvl w:val="-1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snapToGrid/>
        <w:spacing w:before="0" w:beforeLines="0" w:after="0" w:afterLines="0" w:line="360" w:lineRule="auto"/>
        <w:ind w:left="0" w:leftChars="0" w:right="0" w:rightChars="0" w:firstLine="643" w:firstLineChars="200"/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五、考核标准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before="0" w:beforeLines="0" w:after="0" w:afterLines="0" w:line="360" w:lineRule="auto"/>
        <w:ind w:left="0" w:leftChars="0" w:right="0" w:rightChars="0" w:firstLine="560" w:firstLineChars="200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color="auto" w:fill="FFFFFF"/>
          <w:lang w:val="en-US" w:eastAsia="zh-CN" w:bidi="ar"/>
        </w:rPr>
      </w:pP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采用每季度付款方式。由甲方对乙方按照每季度服务质量考核后再付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000FF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款，考核分为优秀、合格、不合格三种(详见附件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FF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二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000FF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: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FF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污水运维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000FF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季度考核表),本季度考核结果为优秀的甲方支付本季度服务费用的全款，考核结果为合格的甲方支付本季度服务费用的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FF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85%，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000FF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考核结果为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FF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不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000FF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合格的甲方支付本季度服务费用的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FF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60%.</w:t>
      </w:r>
    </w:p>
    <w:p>
      <w:pPr>
        <w:pStyle w:val="3"/>
        <w:keepNext w:val="0"/>
        <w:keepLines w:val="0"/>
        <w:pageBreakBefore w:val="0"/>
        <w:widowControl/>
        <w:numPr>
          <w:ilvl w:val="-1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snapToGrid/>
        <w:spacing w:before="0" w:beforeLines="0" w:after="0" w:afterLines="0" w:line="360" w:lineRule="auto"/>
        <w:ind w:left="0" w:leftChars="0" w:right="0" w:rightChars="0" w:firstLine="643" w:firstLineChars="200"/>
        <w:rPr>
          <w:rFonts w:hint="eastAsia" w:ascii="宋体" w:hAnsi="宋体" w:eastAsia="宋体" w:cs="宋体"/>
          <w:color w:val="auto"/>
          <w:lang w:val="en-US" w:eastAsia="zh-CN"/>
        </w:rPr>
      </w:pPr>
      <w:bookmarkStart w:id="12" w:name="_Toc2978"/>
      <w:bookmarkStart w:id="13" w:name="_Toc12069"/>
      <w:bookmarkStart w:id="14" w:name="_Toc4"/>
      <w:bookmarkStart w:id="15" w:name="_Toc8721"/>
      <w:r>
        <w:rPr>
          <w:rFonts w:hint="eastAsia" w:ascii="宋体" w:hAnsi="宋体" w:eastAsia="宋体" w:cs="宋体"/>
          <w:color w:val="auto"/>
          <w:lang w:val="en-US" w:eastAsia="zh-CN"/>
        </w:rPr>
        <w:t>六、运维清单</w:t>
      </w:r>
      <w:bookmarkEnd w:id="12"/>
      <w:bookmarkEnd w:id="13"/>
      <w:bookmarkEnd w:id="14"/>
      <w:bookmarkEnd w:id="15"/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before="0" w:beforeLines="0" w:after="0" w:afterLines="0" w:line="360" w:lineRule="auto"/>
        <w:ind w:left="0" w:leftChars="0" w:right="0" w:rightChars="0" w:firstLine="560" w:firstLineChars="200"/>
        <w:textAlignment w:val="auto"/>
        <w:rPr>
          <w:rFonts w:hint="default" w:ascii="宋体" w:hAnsi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color="auto" w:fill="FFFFFF"/>
          <w:lang w:val="en-US" w:eastAsia="zh-CN" w:bidi="ar"/>
        </w:rPr>
      </w:pPr>
      <w:r>
        <w:rPr>
          <w:rFonts w:hint="default" w:ascii="宋体" w:hAnsi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污水运维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详见附件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三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《乐山市人民医院污水处理系统运维清单》</w:t>
      </w:r>
      <w:r>
        <w:rPr>
          <w:rFonts w:hint="default" w:ascii="宋体" w:hAnsi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，化粪池清掏详见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附件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四</w:t>
      </w:r>
      <w:r>
        <w:rPr>
          <w:rFonts w:hint="default" w:ascii="宋体" w:hAnsi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《化粪池清单》。</w:t>
      </w:r>
    </w:p>
    <w:p>
      <w:pPr>
        <w:numPr>
          <w:ilvl w:val="0"/>
          <w:numId w:val="0"/>
        </w:numPr>
        <w:kinsoku w:val="0"/>
        <w:overflowPunct w:val="0"/>
        <w:autoSpaceDE w:val="0"/>
        <w:autoSpaceDN w:val="0"/>
        <w:spacing w:beforeLines="0" w:afterLines="0" w:line="360" w:lineRule="auto"/>
        <w:ind w:left="0" w:leftChars="0" w:right="0" w:rightChars="0" w:firstLine="420" w:firstLineChars="200"/>
        <w:jc w:val="left"/>
        <w:rPr>
          <w:color w:val="auto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script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汉仪超粗宋简">
    <w:altName w:val="宋体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jc w:val="right"/>
      <w:rPr>
        <w:rFonts w:hint="eastAsia" w:eastAsia="宋体"/>
        <w:lang w:eastAsia="zh-CN"/>
      </w:rPr>
    </w:pPr>
    <w:r>
      <w:rPr>
        <w:rFonts w:hint="eastAsia"/>
        <w:lang w:eastAsia="zh-CN"/>
      </w:rPr>
      <w:t>附件一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D74911D"/>
    <w:multiLevelType w:val="multilevel"/>
    <w:tmpl w:val="6D74911D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suff w:val="space"/>
      <w:lvlText w:val="%1.%2."/>
      <w:lvlJc w:val="left"/>
      <w:pPr>
        <w:ind w:left="850" w:hanging="453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1508" w:hanging="708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2053" w:hanging="853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2495" w:hanging="895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3136" w:hanging="1136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3673" w:hanging="1273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42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4648" w:hanging="1448"/>
      </w:pPr>
      <w:rPr>
        <w:rFonts w:hint="default"/>
      </w:rPr>
    </w:lvl>
  </w:abstractNum>
  <w:abstractNum w:abstractNumId="1">
    <w:nsid w:val="79F280D1"/>
    <w:multiLevelType w:val="singleLevel"/>
    <w:tmpl w:val="79F280D1"/>
    <w:lvl w:ilvl="0" w:tentative="0">
      <w:start w:val="1"/>
      <w:numFmt w:val="decimal"/>
      <w:suff w:val="space"/>
      <w:lvlText w:val="（%1）"/>
      <w:lvlJc w:val="left"/>
    </w:lvl>
  </w:abstractNum>
  <w:abstractNum w:abstractNumId="2">
    <w:nsid w:val="7C78CA89"/>
    <w:multiLevelType w:val="multilevel"/>
    <w:tmpl w:val="7C78CA89"/>
    <w:lvl w:ilvl="0" w:tentative="0">
      <w:start w:val="1"/>
      <w:numFmt w:val="chineseCounting"/>
      <w:pStyle w:val="2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chineseCounting"/>
      <w:pStyle w:val="3"/>
      <w:suff w:val="nothing"/>
      <w:lvlText w:val="（%2）"/>
      <w:lvlJc w:val="left"/>
      <w:pPr>
        <w:ind w:left="210" w:firstLine="0"/>
      </w:pPr>
      <w:rPr>
        <w:rFonts w:hint="eastAsia"/>
      </w:rPr>
    </w:lvl>
    <w:lvl w:ilvl="2" w:tentative="0">
      <w:start w:val="1"/>
      <w:numFmt w:val="decimal"/>
      <w:pStyle w:val="4"/>
      <w:suff w:val="nothing"/>
      <w:lvlText w:val="%3．"/>
      <w:lvlJc w:val="left"/>
      <w:pPr>
        <w:ind w:left="0" w:firstLine="400"/>
      </w:pPr>
      <w:rPr>
        <w:rFonts w:hint="eastAsia"/>
      </w:rPr>
    </w:lvl>
    <w:lvl w:ilvl="3" w:tentative="0">
      <w:start w:val="1"/>
      <w:numFmt w:val="decimal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 "/>
      <w:lvlJc w:val="left"/>
      <w:pPr>
        <w:ind w:left="0" w:firstLine="402"/>
      </w:pPr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JjMTdlMjM3ODI1MzhlNWExYTcwZjQxMGViNDcyZjcifQ=="/>
  </w:docVars>
  <w:rsids>
    <w:rsidRoot w:val="00000000"/>
    <w:rsid w:val="05F87C0C"/>
    <w:rsid w:val="095C3D82"/>
    <w:rsid w:val="0B0772F8"/>
    <w:rsid w:val="0B9A27ED"/>
    <w:rsid w:val="0BF8135F"/>
    <w:rsid w:val="11694AB6"/>
    <w:rsid w:val="121B7B02"/>
    <w:rsid w:val="133B3EFF"/>
    <w:rsid w:val="139459C7"/>
    <w:rsid w:val="17034041"/>
    <w:rsid w:val="1A2E123F"/>
    <w:rsid w:val="20F4356B"/>
    <w:rsid w:val="2479769D"/>
    <w:rsid w:val="262F5355"/>
    <w:rsid w:val="26412785"/>
    <w:rsid w:val="28846417"/>
    <w:rsid w:val="2CB90C8F"/>
    <w:rsid w:val="2D5C7084"/>
    <w:rsid w:val="318B35FE"/>
    <w:rsid w:val="331B4BC9"/>
    <w:rsid w:val="391C5F11"/>
    <w:rsid w:val="3D142E07"/>
    <w:rsid w:val="41591699"/>
    <w:rsid w:val="434D4D0D"/>
    <w:rsid w:val="46BE350D"/>
    <w:rsid w:val="47544958"/>
    <w:rsid w:val="49CB5819"/>
    <w:rsid w:val="4BA44460"/>
    <w:rsid w:val="4D6B10AE"/>
    <w:rsid w:val="4FB052A4"/>
    <w:rsid w:val="50297C42"/>
    <w:rsid w:val="50C7073C"/>
    <w:rsid w:val="5324505D"/>
    <w:rsid w:val="55C46E14"/>
    <w:rsid w:val="57FB7675"/>
    <w:rsid w:val="5A1924BD"/>
    <w:rsid w:val="5F9D4C71"/>
    <w:rsid w:val="61F45CEA"/>
    <w:rsid w:val="62D324BB"/>
    <w:rsid w:val="65D90AFD"/>
    <w:rsid w:val="68535C3E"/>
    <w:rsid w:val="68784853"/>
    <w:rsid w:val="68C078C1"/>
    <w:rsid w:val="6E2D125D"/>
    <w:rsid w:val="6E4142A1"/>
    <w:rsid w:val="6F4B2734"/>
    <w:rsid w:val="710A39B3"/>
    <w:rsid w:val="75E24DE2"/>
    <w:rsid w:val="76304ADF"/>
    <w:rsid w:val="767E397C"/>
    <w:rsid w:val="76C622BE"/>
    <w:rsid w:val="775A6197"/>
    <w:rsid w:val="78EA398F"/>
    <w:rsid w:val="7DB76EA9"/>
    <w:rsid w:val="7FD24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line="0" w:lineRule="atLeast"/>
      <w:jc w:val="center"/>
      <w:outlineLvl w:val="0"/>
    </w:pPr>
    <w:rPr>
      <w:rFonts w:hint="eastAsia" w:ascii="黑体" w:hAnsi="黑体" w:eastAsia="汉仪超粗宋简"/>
      <w:b/>
      <w:bCs/>
      <w:color w:val="000000"/>
      <w:sz w:val="36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numPr>
        <w:ilvl w:val="1"/>
        <w:numId w:val="1"/>
      </w:numPr>
      <w:spacing w:before="260" w:beforeLines="0" w:after="260" w:afterLines="0" w:line="413" w:lineRule="auto"/>
      <w:outlineLvl w:val="1"/>
    </w:pPr>
    <w:rPr>
      <w:rFonts w:ascii="Arial" w:hAnsi="Arial" w:eastAsia="黑体" w:cs="Times New Roman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before="260" w:beforeLines="0" w:beforeAutospacing="0" w:after="260" w:afterLines="0" w:afterAutospacing="0" w:line="413" w:lineRule="auto"/>
      <w:ind w:firstLine="400"/>
      <w:outlineLvl w:val="2"/>
    </w:pPr>
    <w:rPr>
      <w:b/>
      <w:sz w:val="32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unhideWhenUsed/>
    <w:qFormat/>
    <w:uiPriority w:val="99"/>
    <w:pPr>
      <w:ind w:firstLine="420" w:firstLineChars="200"/>
    </w:pPr>
  </w:style>
  <w:style w:type="paragraph" w:styleId="6">
    <w:name w:val="annotation text"/>
    <w:basedOn w:val="1"/>
    <w:qFormat/>
    <w:uiPriority w:val="0"/>
    <w:pPr>
      <w:jc w:val="left"/>
    </w:p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11">
    <w:name w:val="Strong"/>
    <w:basedOn w:val="10"/>
    <w:qFormat/>
    <w:uiPriority w:val="0"/>
    <w:rPr>
      <w:b/>
    </w:rPr>
  </w:style>
  <w:style w:type="paragraph" w:customStyle="1" w:styleId="12">
    <w:name w:val="样式3"/>
    <w:basedOn w:val="5"/>
    <w:qFormat/>
    <w:uiPriority w:val="0"/>
    <w:pPr>
      <w:autoSpaceDE/>
      <w:autoSpaceDN/>
      <w:spacing w:line="520" w:lineRule="atLeast"/>
      <w:ind w:firstLine="560" w:firstLineChars="0"/>
    </w:pPr>
    <w:rPr>
      <w:rFonts w:ascii="Calibri" w:hAnsi="Calibri" w:cs="黑体"/>
      <w:sz w:val="28"/>
      <w:szCs w:val="20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3484</Words>
  <Characters>3746</Characters>
  <Lines>0</Lines>
  <Paragraphs>0</Paragraphs>
  <TotalTime>0</TotalTime>
  <ScaleCrop>false</ScaleCrop>
  <LinksUpToDate>false</LinksUpToDate>
  <CharactersWithSpaces>3750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2026-04-14T07:41:00Z</dcterms:created>
  <dc:creator>Administrator</dc:creator>
  <cp:lastModifiedBy>如影随风</cp:lastModifiedBy>
  <dcterms:modified xsi:type="dcterms:W3CDTF">2026-04-28T09:35:15Z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TemplateDocerSaveRecord">
    <vt:lpwstr>eyJoZGlkIjoiZjJhNzI5N2E4MGQwYmJlYmVlNDI0YzVkMmM0ZjY1MWMiLCJ1c2VySWQiOiIyNDIzNTk0NzgifQ==</vt:lpwstr>
  </property>
  <property fmtid="{D5CDD505-2E9C-101B-9397-08002B2CF9AE}" pid="4" name="ICV">
    <vt:lpwstr>753A0CA8B5874363B3CA6DFD27556B1F_13</vt:lpwstr>
  </property>
</Properties>
</file>